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6FDA0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砥砺深耕履践致远--</w:t>
      </w:r>
      <w:r>
        <w:rPr>
          <w:rFonts w:hint="eastAsia" w:ascii="Times New Roman" w:hAnsi="Times New Roman" w:eastAsia="方正小标宋简体" w:cs="方正小标宋简体"/>
          <w:b w:val="0"/>
          <w:sz w:val="44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年工作总结参考范文</w:t>
      </w:r>
    </w:p>
    <w:p w14:paraId="2F3CE9C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</w:p>
    <w:p w14:paraId="7AF604E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在时光的长河中扬帆远航，</w:t>
      </w: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是拼搏奋进、收获成长的一年。站在岁末的节点，回首这一年的历程，宛如一幅波澜壮阔的画卷在眼前徐徐展开。从初涉挑战的踌躇满志，到历经风雨的沉稳坚毅，每一步都镌刻着努力的印记，每一次挑战都化作成长的养分。</w:t>
      </w:r>
    </w:p>
    <w:p w14:paraId="5F2E3B3F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一、锚定目标，勇毅前行，筑牢发展根基</w:t>
      </w:r>
    </w:p>
    <w:p w14:paraId="564DE428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（一）精准聚焦，把握航向，绘就“目标路线图”</w:t>
      </w:r>
    </w:p>
    <w:p w14:paraId="0C6A1FE7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，我始终以“目标引领行动”为准则，紧扣行业脉搏与公司战略，精准锚定核心任务：聚焦[核心业务领域]，梳理年度重点工作清单，将[具体战略目标]拆解为“季度攻坚项+月度落实项+周度推进项”，形成“层层压实、环环相扣”的责任链条。例如在**[具体项目名称]中，通过绘制甘特图细化任务到每日节点，建立“日跟进-周复盘-月调整”机制，带领团队克服[具体难点，如资源紧张/技术瓶颈]，最终提前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]天完成交付，为公司抢占市场先机奠定基础，项目验收满意度达</w:t>
      </w:r>
      <w:r>
        <w:rPr>
          <w:rFonts w:hint="eastAsia" w:ascii="Times New Roman" w:hAnsi="Times New Roman" w:eastAsia="仿宋_GB2312" w:cs="仿宋_GB2312"/>
          <w:b w:val="0"/>
          <w:sz w:val="32"/>
        </w:rPr>
        <w:t>98</w:t>
      </w:r>
      <w:r>
        <w:rPr>
          <w:rFonts w:hint="eastAsia" w:ascii="仿宋_GB2312" w:hAnsi="仿宋_GB2312" w:eastAsia="仿宋_GB2312" w:cs="仿宋_GB2312"/>
          <w:b w:val="0"/>
          <w:sz w:val="32"/>
        </w:rPr>
        <w:t>%**，获评“年度标杆项目”。</w:t>
      </w:r>
    </w:p>
    <w:p w14:paraId="37FB5F29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（二）专注深耕，淬炼本领，锻造“专业硬实力”</w:t>
      </w:r>
    </w:p>
    <w:p w14:paraId="0C07DBB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秉持“工欲善其事，必先利其器”的理念，我将提升专业能力作为“必修课”：全年参与**[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]场行业峰会、[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]次系统性培训，聚焦[专业领域，如数字化管理/政策解读]，形成[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]份学习笔记与案例库；在实践中推行“问题导向式”深耕——每遇复杂业务（如[具体复杂任务，如跨区域协作/合规风险处置]），必牵头开展“场景模拟+方案推演”，结合过往经验与前沿方法，总结出[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条]可复制的实操流程，其中[某优化方法，如“三维度风险评估法”]将同类任务处理效率提升</w:t>
      </w:r>
      <w:r>
        <w:rPr>
          <w:rFonts w:hint="eastAsia" w:ascii="Times New Roman" w:hAnsi="Times New Roman" w:eastAsia="仿宋_GB2312" w:cs="仿宋_GB2312"/>
          <w:b w:val="0"/>
          <w:sz w:val="32"/>
        </w:rPr>
        <w:t>30</w:t>
      </w:r>
      <w:r>
        <w:rPr>
          <w:rFonts w:hint="eastAsia" w:ascii="仿宋_GB2312" w:hAnsi="仿宋_GB2312" w:eastAsia="仿宋_GB2312" w:cs="仿宋_GB2312"/>
          <w:b w:val="0"/>
          <w:sz w:val="32"/>
        </w:rPr>
        <w:t>%**，成为团队“标准作业模板”。</w:t>
      </w:r>
    </w:p>
    <w:p w14:paraId="725A730B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二、反思不足，洞察短板，明晰改进方向</w:t>
      </w:r>
    </w:p>
    <w:p w14:paraId="36B59B03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（一）创新思维待拓展：从“经验依赖”到“破局探索”</w:t>
      </w:r>
    </w:p>
    <w:p w14:paraId="2D1D1CE8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惯性思维偶成“绊脚石”，面对**[具体市场变化，如行业新规落地/技术迭代加速]时，未能</w:t>
      </w:r>
      <w:r>
        <w:rPr>
          <w:rFonts w:hint="eastAsia" w:ascii="仿宋_GB2312" w:hAnsi="仿宋_GB2312" w:eastAsia="仿宋_GB2312" w:cs="仿宋_GB2312"/>
          <w:b/>
          <w:sz w:val="32"/>
        </w:rPr>
        <w:t>第一</w:t>
      </w:r>
      <w:r>
        <w:rPr>
          <w:rFonts w:hint="eastAsia" w:ascii="仿宋_GB2312" w:hAnsi="仿宋_GB2312" w:eastAsia="仿宋_GB2312" w:cs="仿宋_GB2312"/>
          <w:b w:val="0"/>
          <w:sz w:val="32"/>
        </w:rPr>
        <w:t>时间跳出传统模式，导致在[某新业务拓展场景]中响应滞后，错失[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个]**潜在合作机会。本质上是对“变中求新”的敏感度不足，缺乏“无先例可循时主动创造先例”的勇气，创新举措多停留在“局部优化”，未触及业务模式“底层重构”。</w:t>
      </w:r>
    </w:p>
    <w:p w14:paraId="56977EA9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（二）时间管理存瑕疵：从“事务驱动”到“效能优先”</w:t>
      </w:r>
    </w:p>
    <w:p w14:paraId="72140AD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多项任务并行时，偶因“优先级排序模糊”陷入“忙而低效”：曾在**[具体场景，如</w:t>
      </w:r>
      <w:r>
        <w:rPr>
          <w:rFonts w:hint="eastAsia" w:ascii="Times New Roman" w:hAnsi="Times New Roman" w:eastAsia="仿宋_GB2312" w:cs="仿宋_GB2312"/>
          <w:b w:val="0"/>
          <w:sz w:val="32"/>
        </w:rPr>
        <w:t>A</w:t>
      </w:r>
      <w:r>
        <w:rPr>
          <w:rFonts w:hint="eastAsia" w:ascii="仿宋_GB2312" w:hAnsi="仿宋_GB2312" w:eastAsia="仿宋_GB2312" w:cs="仿宋_GB2312"/>
          <w:b w:val="0"/>
          <w:sz w:val="32"/>
        </w:rPr>
        <w:t>项目收尾+</w:t>
      </w:r>
      <w:r>
        <w:rPr>
          <w:rFonts w:hint="eastAsia" w:ascii="Times New Roman" w:hAnsi="Times New Roman" w:eastAsia="仿宋_GB2312" w:cs="仿宋_GB2312"/>
          <w:b w:val="0"/>
          <w:sz w:val="32"/>
        </w:rPr>
        <w:t>B</w:t>
      </w:r>
      <w:r>
        <w:rPr>
          <w:rFonts w:hint="eastAsia" w:ascii="仿宋_GB2312" w:hAnsi="仿宋_GB2312" w:eastAsia="仿宋_GB2312" w:cs="仿宋_GB2312"/>
          <w:b w:val="0"/>
          <w:sz w:val="32"/>
        </w:rPr>
        <w:t>任务启动+</w:t>
      </w:r>
      <w:r>
        <w:rPr>
          <w:rFonts w:hint="eastAsia" w:ascii="Times New Roman" w:hAnsi="Times New Roman" w:eastAsia="仿宋_GB2312" w:cs="仿宋_GB2312"/>
          <w:b w:val="0"/>
          <w:sz w:val="32"/>
        </w:rPr>
        <w:t>C</w:t>
      </w:r>
      <w:r>
        <w:rPr>
          <w:rFonts w:hint="eastAsia" w:ascii="仿宋_GB2312" w:hAnsi="仿宋_GB2312" w:eastAsia="仿宋_GB2312" w:cs="仿宋_GB2312"/>
          <w:b w:val="0"/>
          <w:sz w:val="32"/>
        </w:rPr>
        <w:t>紧急事项叠加]**时，因未合理运用“四象限法则”拆解任务，导致</w:t>
      </w:r>
      <w:r>
        <w:rPr>
          <w:rFonts w:hint="eastAsia" w:ascii="Times New Roman" w:hAnsi="Times New Roman" w:eastAsia="仿宋_GB2312" w:cs="仿宋_GB2312"/>
          <w:b w:val="0"/>
          <w:sz w:val="32"/>
        </w:rPr>
        <w:t>B</w:t>
      </w:r>
      <w:r>
        <w:rPr>
          <w:rFonts w:hint="eastAsia" w:ascii="仿宋_GB2312" w:hAnsi="仿宋_GB2312" w:eastAsia="仿宋_GB2312" w:cs="仿宋_GB2312"/>
          <w:b w:val="0"/>
          <w:sz w:val="32"/>
        </w:rPr>
        <w:t>任务前期调研深度不足，后期投入双倍精力“补课”，虽最终完成但损耗了团队精力。反映出统筹工具应用不足，缺乏“全局视角”下的资源动态调配能力。</w:t>
      </w:r>
    </w:p>
    <w:p w14:paraId="7F9CECC0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（三）沟通协作需加强：从“信息传递”到“情感联结”</w:t>
      </w:r>
    </w:p>
    <w:p w14:paraId="5DFA7288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团队沟通中“事务性对接”占比过高，“共情式交流”不足：虽组织**[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场]团队活动，但形式偏传统（如聚餐、会议），未能精准匹配成员需求，部分同事在[具体工作环节，如跨部门协作/难点攻坚]中出现“信息断层”，导致流程衔接耗时增加[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%]**。本质是沟通机制未从“效率导向”延伸至“信任导向”，团队凝聚力仍有提升空间。</w:t>
      </w:r>
    </w:p>
    <w:p w14:paraId="2567CFDB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三、规划蓝图，砥砺奋进，开启全新征程</w:t>
      </w:r>
    </w:p>
    <w:p w14:paraId="5432CB61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（一）创新驱动，开拓进取，激活“发展新引擎”</w:t>
      </w:r>
    </w:p>
    <w:p w14:paraId="54AEA9BC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</w:rPr>
        <w:t>年，将以“敢为人先”的魄力突破思维边界：</w:t>
      </w:r>
    </w:p>
    <w:p w14:paraId="0BB747A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•搭建创新孵化机制：设立“月度头脑风暴会”，聚焦行业痛点（如**[具体痛点，如服务流程繁琐/技术应用滞后]），鼓励团队提出“颠覆性方案”，建立“创意-论证-试点-推广”全链条，年内至少落地[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项]创新性举措（如引入[新技术/新模式，如</w:t>
      </w:r>
      <w:r>
        <w:rPr>
          <w:rFonts w:hint="eastAsia" w:ascii="Times New Roman" w:hAnsi="Times New Roman" w:eastAsia="仿宋_GB2312" w:cs="仿宋_GB2312"/>
          <w:b w:val="0"/>
          <w:sz w:val="32"/>
        </w:rPr>
        <w:t>AI</w:t>
      </w:r>
      <w:r>
        <w:rPr>
          <w:rFonts w:hint="eastAsia" w:ascii="仿宋_GB2312" w:hAnsi="仿宋_GB2312" w:eastAsia="仿宋_GB2312" w:cs="仿宋_GB2312"/>
          <w:b w:val="0"/>
          <w:sz w:val="32"/>
        </w:rPr>
        <w:t>辅助决策系统/模块化服务体系]**）；</w:t>
      </w:r>
    </w:p>
    <w:p w14:paraId="1264992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•强化对标学习赋能：主动对接**[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家]**行业标杆企业，开展“跨界取经”行动，将外部先进经验与公司实际结合，形成《创新实践手册》，推动业务从“跟跑”向“并跑”跨越。</w:t>
      </w:r>
    </w:p>
    <w:p w14:paraId="642AC8DA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（二）优化管理，提升效率，打造“效能管控链”</w:t>
      </w:r>
    </w:p>
    <w:p w14:paraId="0ADE5D1E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•推行精细化时间管理：运用“项目管理工具+优先级矩阵”双轨法——每日清晨用“</w:t>
      </w:r>
      <w:r>
        <w:rPr>
          <w:rFonts w:hint="eastAsia" w:ascii="Times New Roman" w:hAnsi="Times New Roman" w:eastAsia="仿宋_GB2312" w:cs="仿宋_GB2312"/>
          <w:b w:val="0"/>
          <w:sz w:val="32"/>
        </w:rPr>
        <w:t>10</w:t>
      </w:r>
      <w:r>
        <w:rPr>
          <w:rFonts w:hint="eastAsia" w:ascii="仿宋_GB2312" w:hAnsi="仿宋_GB2312" w:eastAsia="仿宋_GB2312" w:cs="仿宋_GB2312"/>
          <w:b w:val="0"/>
          <w:sz w:val="32"/>
        </w:rPr>
        <w:t>分钟清单法”明确“</w:t>
      </w:r>
      <w:r>
        <w:rPr>
          <w:rFonts w:hint="eastAsia" w:ascii="Times New Roman" w:hAnsi="Times New Roman" w:eastAsia="仿宋_GB2312" w:cs="仿宋_GB2312"/>
          <w:b w:val="0"/>
          <w:sz w:val="32"/>
        </w:rPr>
        <w:t>3</w:t>
      </w:r>
      <w:r>
        <w:rPr>
          <w:rFonts w:hint="eastAsia" w:ascii="仿宋_GB2312" w:hAnsi="仿宋_GB2312" w:eastAsia="仿宋_GB2312" w:cs="仿宋_GB2312"/>
          <w:b w:val="0"/>
          <w:sz w:val="32"/>
        </w:rPr>
        <w:t>件核心要事+</w:t>
      </w:r>
      <w:r>
        <w:rPr>
          <w:rFonts w:hint="eastAsia" w:ascii="Times New Roman" w:hAnsi="Times New Roman" w:eastAsia="仿宋_GB2312" w:cs="仿宋_GB2312"/>
          <w:b w:val="0"/>
          <w:sz w:val="32"/>
        </w:rPr>
        <w:t>N</w:t>
      </w:r>
      <w:r>
        <w:rPr>
          <w:rFonts w:hint="eastAsia" w:ascii="仿宋_GB2312" w:hAnsi="仿宋_GB2312" w:eastAsia="仿宋_GB2312" w:cs="仿宋_GB2312"/>
          <w:b w:val="0"/>
          <w:sz w:val="32"/>
        </w:rPr>
        <w:t>件常规事”，每周五下午开展“进度红绿灯复盘”（红色预警任务重点攻坚，绿色达标任务总结沉淀），避免“眉毛胡子一把抓”；</w:t>
      </w:r>
    </w:p>
    <w:p w14:paraId="5535E8A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•建立动态资源调配机制：针对复杂任务，提前绘制“资源需求图谱”，明确人力、时间、物资等要素的“最优配置方案”，遇突发情况启动“应急响应预案”，确保常规工作不断档、紧急任务高效率，将任务延期率控制在</w:t>
      </w:r>
      <w:r>
        <w:rPr>
          <w:rFonts w:hint="eastAsia" w:ascii="Times New Roman" w:hAnsi="Times New Roman" w:eastAsia="仿宋_GB2312" w:cs="仿宋_GB2312"/>
          <w:b w:val="0"/>
          <w:sz w:val="32"/>
        </w:rPr>
        <w:t>5</w:t>
      </w:r>
      <w:r>
        <w:rPr>
          <w:rFonts w:hint="eastAsia" w:ascii="仿宋_GB2312" w:hAnsi="仿宋_GB2312" w:eastAsia="仿宋_GB2312" w:cs="仿宋_GB2312"/>
          <w:b w:val="0"/>
          <w:sz w:val="32"/>
        </w:rPr>
        <w:t>%以内。</w:t>
      </w:r>
    </w:p>
    <w:p w14:paraId="4C8C3316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（三）加强沟通，凝聚合力，筑牢“团队同心圆”</w:t>
      </w:r>
    </w:p>
    <w:p w14:paraId="2729E44A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•构建“立体沟通网络”：</w:t>
      </w:r>
    </w:p>
    <w:p w14:paraId="0EBAC35E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◦工作层：优化跨部门“对接备忘录”制度，重要事项同步“责任清单+时间节点+验收标准”，避免信息模糊；</w:t>
      </w:r>
    </w:p>
    <w:p w14:paraId="0370D74C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◦情感层：推行“一对一谈心计划”，每月与团队成员深度沟通**[</w:t>
      </w:r>
      <w:r>
        <w:rPr>
          <w:rFonts w:hint="eastAsia" w:ascii="Times New Roman" w:hAnsi="Times New Roman" w:eastAsia="仿宋_GB2312" w:cs="仿宋_GB2312"/>
          <w:b w:val="0"/>
          <w:sz w:val="32"/>
        </w:rPr>
        <w:t>X</w:t>
      </w:r>
      <w:r>
        <w:rPr>
          <w:rFonts w:hint="eastAsia" w:ascii="仿宋_GB2312" w:hAnsi="仿宋_GB2312" w:eastAsia="仿宋_GB2312" w:cs="仿宋_GB2312"/>
          <w:b w:val="0"/>
          <w:sz w:val="32"/>
        </w:rPr>
        <w:t>次]**，关注工作难点与职业诉求，针对性提供支持（如技能培训、任务分工调整）；</w:t>
      </w:r>
    </w:p>
    <w:p w14:paraId="19482928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◦文化层：策划“沉浸式团队活动”（如户外拓展+业务复盘结合、主题分享会），打造“协作型+成长型”团队文化，让成员从“共事”到“共识”“共心”。</w:t>
      </w:r>
    </w:p>
    <w:p w14:paraId="2AEC7240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四、结语：以深耕致岁月，以笃行赴山海</w:t>
      </w:r>
    </w:p>
    <w:p w14:paraId="03B3465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，是“砥砺深耕”的沉淀之年，亦是“履践致远”的启程之年。那些攻克的难题，见证了担当的分量；那些暴露的不足，指明了提升的方向。未来，我将以“归零”的心态再出发——在创新中突破边界，在管理中提质增效，在协作中凝聚力量，让每一份专注都成为推动发展的基石，让每一次奋进都化作奔赴远方的动力。</w:t>
      </w:r>
    </w:p>
    <w:p w14:paraId="2435A18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路虽远，行则将至；事虽难，做则必成。</w:t>
      </w:r>
      <w:r>
        <w:rPr>
          <w:rFonts w:hint="eastAsia" w:ascii="Times New Roman" w:hAnsi="Times New Roman" w:eastAsia="仿宋_GB2312" w:cs="仿宋_GB2312"/>
          <w:b w:val="0"/>
          <w:sz w:val="32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</w:rPr>
        <w:t>年，愿继续以“咬定青山不放松”的定力、“敢教日月换新天”的魄力，在新的征程中书写更精彩的答卷。</w:t>
      </w:r>
    </w:p>
    <w:sectPr>
      <w:footerReference r:id="rId3" w:type="default"/>
      <w:footerReference r:id="rId4" w:type="even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01A4B">
    <w:pPr>
      <w:ind w:right="420" w:rightChars="200"/>
      <w:jc w:val="righ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74622">
    <w:pPr>
      <w:ind w:left="420" w:leftChars="2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2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70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2025-06-07T08:12:52Z</dcterms:created>
  <dc:creator>Administrator</dc:creator>
  <cp:lastModifiedBy>雨落心田</cp:lastModifiedBy>
  <dcterms:modified xsi:type="dcterms:W3CDTF">2025-06-07T08:13:12Z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eyJoZGlkIjoiNzJmODBjYzY1ZGVlMmM2NTViYWU4NmVlNTNmYjUzOGEiLCJ1c2VySWQiOiIyNTY0MjU5MzYifQ==</vt:lpwstr>
  </property>
  <property fmtid="{D5CDD505-2E9C-101B-9397-08002B2CF9AE}" pid="4" name="ICV">
    <vt:lpwstr>96D33FAFDD2A4B40BC0B0101E90E6455_12</vt:lpwstr>
  </property>
</Properties>
</file>