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14:paraId="23478F7B">
      <w:pPr>
        <w:spacing w:before="320" w:after="320" w:line="640" w:lineRule="exact"/>
        <w:jc w:val="center"/>
        <w:rPr>
          <w:rFonts w:eastAsia="方正小标宋简体"/>
          <w:color w:val="auto"/>
        </w:rPr>
      </w:pPr>
      <w:bookmarkStart w:id="0" w:name="_GoBack"/>
      <w:r>
        <w:rPr>
          <w:rFonts w:ascii="方正小标宋简体" w:eastAsia="方正小标宋简体" w:hAnsi="方正小标宋简体"/>
          <w:b/>
          <w:color w:val="auto"/>
          <w:sz w:val="44"/>
        </w:rPr>
        <w:t>2026年政绩观学习教育交流研讨发言材料</w:t>
      </w:r>
      <w:r>
        <w:rPr>
          <w:rFonts w:ascii="方正小标宋简体" w:eastAsia="方正小标宋简体" w:hAnsi="方正小标宋简体" w:hint="eastAsia"/>
          <w:b/>
          <w:color w:val="auto"/>
          <w:sz w:val="44"/>
        </w:rPr>
        <w:t>：</w:t>
      </w:r>
      <w:r>
        <w:rPr>
          <w:rFonts w:ascii="方正小标宋简体" w:eastAsia="方正小标宋简体" w:hAnsi="方正小标宋简体"/>
          <w:b/>
          <w:color w:val="auto"/>
          <w:sz w:val="44"/>
        </w:rPr>
        <w:t>坚守正确政绩观践行金融为民使命在高质量发展中书写银行担当</w:t>
      </w:r>
    </w:p>
    <w:p w14:paraId="3C6EEDDE">
      <w:pPr>
        <w:spacing w:line="560" w:lineRule="exact"/>
        <w:jc w:val="both"/>
        <w:rPr>
          <w:color w:val="auto"/>
        </w:rPr>
      </w:pPr>
      <w:r>
        <w:rPr>
          <w:rFonts w:ascii="仿宋_GB2312" w:eastAsia="仿宋_GB2312" w:hAnsi="仿宋_GB2312"/>
          <w:color w:val="auto"/>
          <w:sz w:val="32"/>
        </w:rPr>
        <w:t>尊敬的各位领导、各位同事:</w:t>
      </w:r>
    </w:p>
    <w:p w14:paraId="7EB60475">
      <w:pPr>
        <w:spacing w:line="560" w:lineRule="exact"/>
        <w:ind w:firstLine="640"/>
        <w:jc w:val="both"/>
        <w:rPr>
          <w:color w:val="auto"/>
        </w:rPr>
      </w:pPr>
      <w:r>
        <w:rPr>
          <w:rFonts w:ascii="仿宋_GB2312" w:eastAsia="仿宋_GB2312" w:hAnsi="仿宋_GB2312"/>
          <w:color w:val="auto"/>
          <w:sz w:val="32"/>
        </w:rPr>
        <w:t>2026年是“十五五”规划开局之年,也是金融行业高质量发展的关键攻坚期。国家金融监督管理总局专门召开会议,部署开展树立和践行正确政绩观学习教育,明确提出“立党为公、为民造福、科学决策、真抓实干”的总要求,为我们金融系统党员干部指明了方向、提供了遵循。作为银行领导干部,我们手中的权力是人民赋予的,肩上的责任关乎金融稳定、民生福祉和经济发展,树立和践行正确政绩观,既是践行党的性质和宗旨的必然要求,也是推动银行高质量发展、服务金融强国建设的根本保障。结合近期学习思考和工作实际,我就坚守正确政绩观、践行金融使命担当,与大家交流几点体会,不足之处,恳请各位批评指正。</w:t>
      </w:r>
    </w:p>
    <w:p w14:paraId="572FBECB">
      <w:pPr>
        <w:spacing w:line="560" w:lineRule="exact"/>
        <w:ind w:firstLine="640"/>
        <w:jc w:val="both"/>
        <w:rPr>
          <w:color w:val="auto"/>
        </w:rPr>
      </w:pPr>
      <w:r>
        <w:rPr>
          <w:rFonts w:ascii="黑体" w:eastAsia="黑体" w:hAnsi="黑体"/>
          <w:color w:val="auto"/>
          <w:sz w:val="32"/>
        </w:rPr>
        <w:t>一、提高政治站位,深刻领悟正确政绩观的金融内涵与时代要求</w:t>
      </w:r>
    </w:p>
    <w:p w14:paraId="5D42DAFF">
      <w:pPr>
        <w:spacing w:line="560" w:lineRule="exact"/>
        <w:ind w:firstLine="640"/>
        <w:jc w:val="both"/>
        <w:rPr>
          <w:color w:val="auto"/>
        </w:rPr>
      </w:pPr>
      <w:r>
        <w:rPr>
          <w:rFonts w:ascii="仿宋_GB2312" w:eastAsia="仿宋_GB2312" w:hAnsi="仿宋_GB2312"/>
          <w:color w:val="auto"/>
          <w:sz w:val="32"/>
        </w:rPr>
        <w:t>习近平总书记站在党和国家事业发展全局高度,反复强调要树立和践行正确政绩观,深刻阐明了“政绩为谁而树、树什么样的政绩、靠什么树政绩”等重大理论和实践问题,为我们开展学习教育、履职尽责提供了根本遵循。金融是“国之大者”,关系中国式现代化建设全局,银行作为金融体系的核心力量,我们的政绩观,本质上是金融工作政治性、人民性、专业性的集中体现,必须与党中央决策部署同频共振,与金融行业发展规律同向而行,与人民群众期盼同气相求。</w:t>
      </w:r>
    </w:p>
    <w:p w14:paraId="4EB40EE0">
      <w:pPr>
        <w:spacing w:line="560" w:lineRule="exact"/>
        <w:ind w:firstLine="640"/>
        <w:jc w:val="both"/>
        <w:rPr>
          <w:color w:val="auto"/>
        </w:rPr>
      </w:pPr>
      <w:r>
        <w:rPr>
          <w:rFonts w:ascii="仿宋_GB2312" w:eastAsia="仿宋_GB2312" w:hAnsi="仿宋_GB2312"/>
          <w:color w:val="auto"/>
          <w:sz w:val="32"/>
        </w:rPr>
        <w:t>正确的政绩观,是坚守政治忠诚的“定盘星”。金融工作首先是政治工作,我们的政绩,必须是对党忠诚、践行“两个维护”的政绩。2026年作为“十五五”开局之年,我们必须深刻领悟“两个确立”的决定性意义,始终把政治建设摆在首位,自觉把银行工作融入党和国家事业大局,坚决贯彻落实党中央关于金融工作的重大决策部署,以及国家金融监督管理总局、上级党委的工作要求,不打折扣、不搞变通、不做选择。要始终牢记金融工作的政治使命,把服务国家战略、维护金融稳定作为最大的政治政绩,坚决摒弃“重业务、轻政治”“重业绩、轻忠诚”的错误倾向,确保银行发展始终沿着正确政治方向前进,以实际行动践行对党和人民的承诺。</w:t>
      </w:r>
    </w:p>
    <w:p w14:paraId="0B71C22E">
      <w:pPr>
        <w:spacing w:line="560" w:lineRule="exact"/>
        <w:ind w:firstLine="640"/>
        <w:jc w:val="both"/>
        <w:rPr>
          <w:color w:val="auto"/>
        </w:rPr>
      </w:pPr>
      <w:r>
        <w:rPr>
          <w:rFonts w:ascii="仿宋_GB2312" w:eastAsia="仿宋_GB2312" w:hAnsi="仿宋_GB2312"/>
          <w:color w:val="auto"/>
          <w:sz w:val="32"/>
        </w:rPr>
        <w:t>正确的政绩观,是践行金融为民的“指南针”。习近平总书记指出,“为民造福是最大政绩”。对于银行而言,我们的政绩不是单纯的存款规模、贷款增量、利润指标,而是让金融服务更普惠、更便捷、更安全,让人民群众共享金融发展成果的实效。当前,人民群众对金融服务的需求日益多元化、个性化,从普惠金融、财富管理到风险防范,从线上服务、便民举措到权益保护,每一项需求都关乎群众的切身利益。我们必须始终坚持“以人民为中心”的发展思想,把群众满意作为衡量政绩的根本标准,既要做让老百姓看得见、摸得着、得实惠的实事,也要做为后人作铺垫、打基础、利长远的好事,既要做显功,也要做潜功,不计较个人功名,追求人民群众的好口碑、历史沉淀之后真正的评价。</w:t>
      </w:r>
    </w:p>
    <w:p w14:paraId="11F6F9F9">
      <w:pPr>
        <w:spacing w:line="560" w:lineRule="exact"/>
        <w:ind w:firstLine="640"/>
        <w:jc w:val="both"/>
        <w:rPr>
          <w:color w:val="auto"/>
        </w:rPr>
      </w:pPr>
      <w:r>
        <w:rPr>
          <w:rFonts w:ascii="仿宋_GB2312" w:eastAsia="仿宋_GB2312" w:hAnsi="仿宋_GB2312"/>
          <w:color w:val="auto"/>
          <w:sz w:val="32"/>
        </w:rPr>
        <w:t>正确的政绩观,是推动高质量发展的“动力源”。当前,金融行业竞争日趋激烈,风险挑战交织叠加,粗放式发展模式已难以为继,高质量发展成为银行的必由之路。正确的政绩观,就是要摒弃急功近利、盲目扩张的浮躁心态,坚持实事求是、因地制宜,既要追求合理的业务增长和经营效益,更要注重发展质量和可持续性;既要抓好当前业务攻坚,破解发展难题,更要着眼长远布局,夯实发展基础。要深刻认识到,银行的政绩不在于一时的规模扩张,而在于核心竞争力的提升;不在于短期的利润增长,而在于风险防控能力的增强;不在于表面的数字好看,而在于对实体经济的实际贡献,真正实现速度与质量、效益与安全、当前与长远的有机统一。</w:t>
      </w:r>
    </w:p>
    <w:p w14:paraId="2110748D">
      <w:pPr>
        <w:spacing w:line="560" w:lineRule="exact"/>
        <w:ind w:firstLine="640"/>
        <w:jc w:val="both"/>
        <w:rPr>
          <w:color w:val="auto"/>
        </w:rPr>
      </w:pPr>
      <w:r>
        <w:rPr>
          <w:rFonts w:ascii="仿宋_GB2312" w:eastAsia="仿宋_GB2312" w:hAnsi="仿宋_GB2312"/>
          <w:color w:val="auto"/>
          <w:sz w:val="32"/>
        </w:rPr>
        <w:t>正确的政绩观,是坚守合规稳健的“防火墙”。金融行业是高风险行业,合规经营、稳健发展是银行的生命线。作为银行领导干部,我们的政绩必须是经得起历史、实践和监管检验的政绩,是守底线、防风险、保安全的政绩。要坚决摒弃“重发展、轻合规”“重效益、轻风险”的错误倾向,始终把合规经营、风险防控贯穿于业务发展的全过程、各环节,既要严控信用风险、操作风险、市场风险,也要防范化解金融腐败风险,坚决守住不发生系统性金融风险的底线。要培育和践行中国特色金融文化,坚持诚实守信、以义取利、稳健审慎、守正创新、依法合规,做到不逾越底线、不为利所趋、不急功近利、不脱实向虚,以合规稳健的发展成效彰显正确政绩观。</w:t>
      </w:r>
    </w:p>
    <w:p w14:paraId="23BDB999">
      <w:pPr>
        <w:spacing w:line="560" w:lineRule="exact"/>
        <w:ind w:firstLine="640"/>
        <w:jc w:val="both"/>
        <w:rPr>
          <w:color w:val="auto"/>
        </w:rPr>
      </w:pPr>
      <w:r>
        <w:rPr>
          <w:rFonts w:ascii="黑体" w:eastAsia="黑体" w:hAnsi="黑体"/>
          <w:color w:val="auto"/>
          <w:sz w:val="32"/>
        </w:rPr>
        <w:t>二、坚持问题导向,深刻查摆政绩观方面存在的差距与不足</w:t>
      </w:r>
    </w:p>
    <w:p w14:paraId="6BCD73F6">
      <w:pPr>
        <w:spacing w:line="560" w:lineRule="exact"/>
        <w:ind w:firstLine="640"/>
        <w:jc w:val="both"/>
        <w:rPr>
          <w:color w:val="auto"/>
        </w:rPr>
      </w:pPr>
      <w:r>
        <w:rPr>
          <w:rFonts w:ascii="仿宋_GB2312" w:eastAsia="仿宋_GB2312" w:hAnsi="仿宋_GB2312"/>
          <w:color w:val="auto"/>
          <w:sz w:val="32"/>
        </w:rPr>
        <w:t>结合本次政绩观学习教育,对照习近平总书记重要论述和党中央决策部署,对照金融工作的政治性、人民性要求,对照银行高质量发展的实际需要,对照人民群众的殷切期盼,我认真开展自我检视、自我剖析,清醒认识到自身在政绩观方面还存在一些差距和不足,主要表现在以下几个方面。</w:t>
      </w:r>
    </w:p>
    <w:p w14:paraId="7EFCEC8C">
      <w:pPr>
        <w:spacing w:line="560" w:lineRule="exact"/>
        <w:ind w:firstLine="640"/>
        <w:jc w:val="both"/>
        <w:rPr>
          <w:color w:val="auto"/>
        </w:rPr>
      </w:pPr>
      <w:r>
        <w:rPr>
          <w:rFonts w:ascii="仿宋_GB2312" w:eastAsia="仿宋_GB2312" w:hAnsi="仿宋_GB2312"/>
          <w:b/>
          <w:color w:val="auto"/>
          <w:sz w:val="32"/>
        </w:rPr>
        <w:t>一是</w:t>
      </w:r>
      <w:r>
        <w:rPr>
          <w:rFonts w:ascii="仿宋_GB2312" w:eastAsia="仿宋_GB2312" w:hAnsi="仿宋_GB2312"/>
          <w:color w:val="auto"/>
          <w:sz w:val="32"/>
        </w:rPr>
        <w:t>理论学习的深度不够,政绩观认知仍有偏差。虽然能够按时参加各类学习,但对习近平总书记关于树立和践行正确政绩观的重要论述、关于金融工作的重要指示批示精神,学习不够系统、不够深入,存在浅尝辄止、学用脱节的现象。对“政绩为谁而树、树什么样的政绩、靠什么树政绩”的核心问题,思考不够深刻、把握不够精准,有时仍存在“重业务指标、轻政治要求”“重短期成效、轻长远发展”的倾向,在统筹平衡业务发展与风险防控、经济效益与社会效益方面,思考不够全面、谋划不够科学,未能完全将正确政绩观融入履职尽责的全过程。</w:t>
      </w:r>
    </w:p>
    <w:p w14:paraId="01D1714A">
      <w:pPr>
        <w:spacing w:line="560" w:lineRule="exact"/>
        <w:ind w:firstLine="640"/>
        <w:jc w:val="both"/>
        <w:rPr>
          <w:color w:val="auto"/>
        </w:rPr>
      </w:pPr>
      <w:r>
        <w:rPr>
          <w:rFonts w:ascii="仿宋_GB2312" w:eastAsia="仿宋_GB2312" w:hAnsi="仿宋_GB2312"/>
          <w:b/>
          <w:color w:val="auto"/>
          <w:sz w:val="32"/>
        </w:rPr>
        <w:t>二是</w:t>
      </w:r>
      <w:r>
        <w:rPr>
          <w:rFonts w:ascii="仿宋_GB2312" w:eastAsia="仿宋_GB2312" w:hAnsi="仿宋_GB2312"/>
          <w:color w:val="auto"/>
          <w:sz w:val="32"/>
        </w:rPr>
        <w:t>服务群众的力度不足,金融为民落实不够扎实。虽然始终强调“金融为民”的理念,但在实际工作中,有时更多关注业务指标的完成,对群众的急难愁盼问题关注不够、回应不够及时。比如,在普惠金融服务方面,对小微企业、个体工商户、农村群众等重点群体的金融需求调研不够深入,信贷产品创新不够精准,部分群众贷款难、贷款贵的问题仍未得到根本解决;在便民服务方面,线上服务的便捷性、线下服务的高效性仍有提升空间,对老年群体、残障群体等特殊群体的金融服务保障不够到位,未能真正做到“以客户为中心”,金融为民的实效不够明显。</w:t>
      </w:r>
    </w:p>
    <w:p w14:paraId="5682E2A4">
      <w:pPr>
        <w:spacing w:line="560" w:lineRule="exact"/>
        <w:ind w:firstLine="640"/>
        <w:jc w:val="both"/>
        <w:rPr>
          <w:color w:val="auto"/>
        </w:rPr>
      </w:pPr>
      <w:r>
        <w:rPr>
          <w:rFonts w:ascii="仿宋_GB2312" w:eastAsia="仿宋_GB2312" w:hAnsi="仿宋_GB2312"/>
          <w:b/>
          <w:color w:val="auto"/>
          <w:sz w:val="32"/>
        </w:rPr>
        <w:t>三是</w:t>
      </w:r>
      <w:r>
        <w:rPr>
          <w:rFonts w:ascii="仿宋_GB2312" w:eastAsia="仿宋_GB2312" w:hAnsi="仿宋_GB2312"/>
          <w:color w:val="auto"/>
          <w:sz w:val="32"/>
        </w:rPr>
        <w:t>实干担当的劲头不足,攻坚克难的力度不够。面对银行发展中遇到的困难和挑战,比如不良贷款处置、业务结构优化、数字化转型推进等重点难点工作,有时存在畏难情绪,缺乏“逢山开路、遇水架桥”的闯劲和“钉钉子”精神,攻坚克难的主动性、创造性不够。在工作推进过程中,有时满足于“完成任务”,而不是追求“精益求精”,对一些长期存在的问题,缺乏一抓到底的韧劲,存在“重部署、轻落实”“重形式、轻实效”的现象,实干担当的成效不够突出,未能以实实在在的行动推动银行高质量发展。</w:t>
      </w:r>
    </w:p>
    <w:p w14:paraId="318C6507">
      <w:pPr>
        <w:spacing w:line="560" w:lineRule="exact"/>
        <w:ind w:firstLine="640"/>
        <w:jc w:val="both"/>
        <w:rPr>
          <w:color w:val="auto"/>
        </w:rPr>
      </w:pPr>
      <w:r>
        <w:rPr>
          <w:rFonts w:ascii="仿宋_GB2312" w:eastAsia="仿宋_GB2312" w:hAnsi="仿宋_GB2312"/>
          <w:b/>
          <w:color w:val="auto"/>
          <w:sz w:val="32"/>
        </w:rPr>
        <w:t>四是</w:t>
      </w:r>
      <w:r>
        <w:rPr>
          <w:rFonts w:ascii="仿宋_GB2312" w:eastAsia="仿宋_GB2312" w:hAnsi="仿宋_GB2312"/>
          <w:color w:val="auto"/>
          <w:sz w:val="32"/>
        </w:rPr>
        <w:t>合规风控的意识不够,底线思维仍需强化。虽然始终强调合规经营和风险防控,但在实际工作中,有时存在“重发展、轻合规”的倾向,对部分业务环节的合规审查不够严格,对员工的合规教育不够深入,部分员工的合规意识和风险意识仍有待提升。在风险防控工作中,有时存在侥幸心理,对一些潜在的风险隐患排查不够全面、处置不够及时,底线思维不够牢固,未能始终以“时时放心不下”的责任感抓好风险防控工作,与正确政绩观所要求的合规稳健发展要求仍有差距。</w:t>
      </w:r>
    </w:p>
    <w:p w14:paraId="6594793E">
      <w:pPr>
        <w:spacing w:line="560" w:lineRule="exact"/>
        <w:ind w:firstLine="640"/>
        <w:jc w:val="both"/>
        <w:rPr>
          <w:color w:val="auto"/>
        </w:rPr>
      </w:pPr>
      <w:r>
        <w:rPr>
          <w:rFonts w:ascii="仿宋_GB2312" w:eastAsia="仿宋_GB2312" w:hAnsi="仿宋_GB2312"/>
          <w:b/>
          <w:color w:val="auto"/>
          <w:sz w:val="32"/>
        </w:rPr>
        <w:t>五是</w:t>
      </w:r>
      <w:r>
        <w:rPr>
          <w:rFonts w:ascii="仿宋_GB2312" w:eastAsia="仿宋_GB2312" w:hAnsi="仿宋_GB2312"/>
          <w:color w:val="auto"/>
          <w:sz w:val="32"/>
        </w:rPr>
        <w:t>统筹协调的能力不足,发展的平衡性不够。在工作中,有时存在“单打独斗”的倾向,统筹协调各部门、各分支机构协同推进工作的能力不够,未能形成推动发展的强大合力。在统筹业务发展与党建工作、统筹短期目标与长远规划、统筹经济效益与社会效益等方面,做得不够到位,存在“一手硬、一手软”的现象,未能实现各项工作协同推进、均衡发展,影响了整体工作成效的提升。</w:t>
      </w:r>
    </w:p>
    <w:p w14:paraId="61B652D6">
      <w:pPr>
        <w:spacing w:line="560" w:lineRule="exact"/>
        <w:ind w:firstLine="640"/>
        <w:jc w:val="both"/>
        <w:rPr>
          <w:color w:val="auto"/>
        </w:rPr>
      </w:pPr>
      <w:r>
        <w:rPr>
          <w:rFonts w:ascii="仿宋_GB2312" w:eastAsia="仿宋_GB2312" w:hAnsi="仿宋_GB2312"/>
          <w:color w:val="auto"/>
          <w:sz w:val="32"/>
        </w:rPr>
        <w:t>深刻反思这些问题的存在,根源在于思想认识不到位、宗旨意识不牢固、责任担当不够强,本质上是政绩观出现了偏差。针对这些问题,我将以此次政绩观学习教育为契机,切实加以整改,不断校正政绩观,推动各项工作再上新台阶。</w:t>
      </w:r>
    </w:p>
    <w:p w14:paraId="25EA2819">
      <w:pPr>
        <w:spacing w:line="560" w:lineRule="exact"/>
        <w:ind w:firstLine="640"/>
        <w:jc w:val="both"/>
        <w:rPr>
          <w:color w:val="auto"/>
        </w:rPr>
      </w:pPr>
      <w:r>
        <w:rPr>
          <w:rFonts w:ascii="黑体" w:eastAsia="黑体" w:hAnsi="黑体"/>
          <w:color w:val="auto"/>
          <w:sz w:val="32"/>
        </w:rPr>
        <w:t>三、强化实干担当,以正确政绩观引领银行高质量发展实践</w:t>
      </w:r>
    </w:p>
    <w:p w14:paraId="5DC50D7B">
      <w:pPr>
        <w:spacing w:line="560" w:lineRule="exact"/>
        <w:ind w:firstLine="640"/>
        <w:jc w:val="both"/>
        <w:rPr>
          <w:color w:val="auto"/>
        </w:rPr>
      </w:pPr>
      <w:r>
        <w:rPr>
          <w:rFonts w:ascii="仿宋_GB2312" w:eastAsia="仿宋_GB2312" w:hAnsi="仿宋_GB2312"/>
          <w:color w:val="auto"/>
          <w:sz w:val="32"/>
        </w:rPr>
        <w:t>树立和践行正确政绩观,关键在行动,核心在落实。作为银行领导干部,我将以此次学习教育为契机,把正确政绩观融入履职尽责、干事创业的全过程,以“功成不必在我”的精神境界和“功成必定有我”的历史担当,聚焦主责主业、强化实干担当,推动银行高质量发展,为服务实体经济、防范金融风险、促进共同富裕贡献力量。</w:t>
      </w:r>
    </w:p>
    <w:p w14:paraId="6AA8DEE1">
      <w:pPr>
        <w:spacing w:line="560" w:lineRule="exact"/>
        <w:ind w:firstLine="640"/>
        <w:jc w:val="both"/>
        <w:rPr>
          <w:color w:val="auto"/>
        </w:rPr>
      </w:pPr>
      <w:r>
        <w:rPr>
          <w:rFonts w:ascii="仿宋_GB2312" w:eastAsia="仿宋_GB2312" w:hAnsi="仿宋_GB2312"/>
          <w:b/>
          <w:color w:val="auto"/>
          <w:sz w:val="32"/>
        </w:rPr>
        <w:t>一是</w:t>
      </w:r>
      <w:r>
        <w:rPr>
          <w:rFonts w:ascii="仿宋_GB2312" w:eastAsia="仿宋_GB2312" w:hAnsi="仿宋_GB2312"/>
          <w:color w:val="auto"/>
          <w:sz w:val="32"/>
        </w:rPr>
        <w:t>深化理论武装,筑牢正确政绩观的思想根基。始终把学习贯彻习近平新时代中国特色社会主义思想作为首要政治任务,深入学习习近平总书记关于树立和践行正确政绩观的重要论述、关于金融工作的重要指示批示精神,认真学习《习近平关于树立和践行正确政绩观论述摘编》,结合国家金融监督管理总局的部署要求,坚持读原著、学原文、悟原理,做到学深悟透、融会贯通。建立常态化学习机制,采取集中学习、专题研讨、读书班、实地调研等多种形式,不断提升自身的政治判断力、政治领悟力、政治执行力,深刻把握正确政绩观的核心内涵和实践要求,切实把思想和行动统一到党中央决策部署上来,始终牢记金融为民的初心使命,自觉摒弃错误政绩观,始终坚守正确的发展方向。</w:t>
      </w:r>
    </w:p>
    <w:p w14:paraId="750F4C65">
      <w:pPr>
        <w:spacing w:line="560" w:lineRule="exact"/>
        <w:ind w:firstLine="640"/>
        <w:jc w:val="both"/>
        <w:rPr>
          <w:color w:val="auto"/>
        </w:rPr>
      </w:pPr>
      <w:r>
        <w:rPr>
          <w:rFonts w:ascii="仿宋_GB2312" w:eastAsia="仿宋_GB2312" w:hAnsi="仿宋_GB2312"/>
          <w:b/>
          <w:color w:val="auto"/>
          <w:sz w:val="32"/>
        </w:rPr>
        <w:t>二是</w:t>
      </w:r>
      <w:r>
        <w:rPr>
          <w:rFonts w:ascii="仿宋_GB2312" w:eastAsia="仿宋_GB2312" w:hAnsi="仿宋_GB2312"/>
          <w:color w:val="auto"/>
          <w:sz w:val="32"/>
        </w:rPr>
        <w:t>聚焦主责主业,彰显服务实体经济的政绩担当。实体经济是金融的根基,服务实体经济是银行的天职。我们将始终坚持金融服务实体经济的本源,把服务实体经济质效作为检验政绩的重要标准,主动对接国家战略和地方发展需求,优化信贷结构,加大信贷投放力度,重点支持制造业、科技创新、绿色发展、乡村振兴等重点领域和薄弱环节。深入推进普惠金融发展,聚焦小微企业、个体工商户、农村群众等重点群体,创新信贷产品和服务模式,简化审批流程、降低融资成本,着力解决群众贷款难、贷款贵的问题,让普惠金融的阳光照亮每一个市场主体。借鉴中国农业银行等同行的先进经验,通过“倾听”平台广泛征集客户诉求,优化服务流程,提升服务质效,切实把服务实体经济的成效作为衡量我们政绩的重要标尺。</w:t>
      </w:r>
    </w:p>
    <w:p w14:paraId="0822397F">
      <w:pPr>
        <w:spacing w:line="560" w:lineRule="exact"/>
        <w:ind w:firstLine="640"/>
        <w:jc w:val="both"/>
        <w:rPr>
          <w:color w:val="auto"/>
        </w:rPr>
      </w:pPr>
      <w:r>
        <w:rPr>
          <w:rFonts w:ascii="仿宋_GB2312" w:eastAsia="仿宋_GB2312" w:hAnsi="仿宋_GB2312"/>
          <w:b/>
          <w:color w:val="auto"/>
          <w:sz w:val="32"/>
        </w:rPr>
        <w:t>三是</w:t>
      </w:r>
      <w:r>
        <w:rPr>
          <w:rFonts w:ascii="仿宋_GB2312" w:eastAsia="仿宋_GB2312" w:hAnsi="仿宋_GB2312"/>
          <w:color w:val="auto"/>
          <w:sz w:val="32"/>
        </w:rPr>
        <w:t>坚持金融为民,把群众满意作为最大政绩。始终坚守“以人民为中心”的发展思想,把群众满意作为衡量工作成效的根本标准,聚焦群众的急难愁盼问题,不断提升金融服务的获得感、幸福感和安全感。优化线上线下服务体系,推进数字化转型,提升线上服务的便捷性和高效性,完善线下服务网点布局,加强对老年群体、残障群体等特殊群体的金融服务保障,推行便民利民举措,让群众“少跑腿、好办事”。加强金融消费者权益保护,畅通投诉举报渠道,规范金融服务行为,严厉打击金融诈骗、非法集资等违法违规行为,切实维护群众的合法权益。深入基层、深入群众,开展常态化调研,倾听群众呼声、了解群众需求,把群众的意见建议作为改进工作的重要依据,用实实在在的服务成效赢得群众的信任和支持。</w:t>
      </w:r>
    </w:p>
    <w:p w14:paraId="58EB2E02">
      <w:pPr>
        <w:spacing w:line="560" w:lineRule="exact"/>
        <w:ind w:firstLine="640"/>
        <w:jc w:val="both"/>
        <w:rPr>
          <w:color w:val="auto"/>
        </w:rPr>
      </w:pPr>
      <w:r>
        <w:rPr>
          <w:rFonts w:ascii="仿宋_GB2312" w:eastAsia="仿宋_GB2312" w:hAnsi="仿宋_GB2312"/>
          <w:b/>
          <w:color w:val="auto"/>
          <w:sz w:val="32"/>
        </w:rPr>
        <w:t>四是</w:t>
      </w:r>
      <w:r>
        <w:rPr>
          <w:rFonts w:ascii="仿宋_GB2312" w:eastAsia="仿宋_GB2312" w:hAnsi="仿宋_GB2312"/>
          <w:color w:val="auto"/>
          <w:sz w:val="32"/>
        </w:rPr>
        <w:t>强化实干担当,以钉钉子精神推动工作落实。实干是成就政绩的唯一路径,担当是践行政绩观的核心要求。面对银行发展中的重点难点工作,我将带头弘扬“由我来办、马上就办、办就办好”的工作作风,主动担当、积极作为,以钉钉子精神抓好各项工作落实。针对不良贷款处置、业务结构优化、数字化转型等重点工作,成立专项工作小组,制定具体实施方案,明确工作目标、责任分工和时间节点,挂图作战、攻坚克难,确保各项工作落到实处、取得实效。加强统筹协调,健全工作推进机制,加强与各部门、各分支机构的协同配合,形成推动发展的强大合力。坚持实事求是、因地制宜,不搞形式主义、官僚主义,不做表面文章、不搞花架子,以实实在在的工作成效彰显政绩。</w:t>
      </w:r>
    </w:p>
    <w:p w14:paraId="286C3E5B">
      <w:pPr>
        <w:spacing w:line="560" w:lineRule="exact"/>
        <w:ind w:firstLine="640"/>
        <w:jc w:val="both"/>
        <w:rPr>
          <w:color w:val="auto"/>
        </w:rPr>
      </w:pPr>
      <w:r>
        <w:rPr>
          <w:rFonts w:ascii="仿宋_GB2312" w:eastAsia="仿宋_GB2312" w:hAnsi="仿宋_GB2312"/>
          <w:b/>
          <w:color w:val="auto"/>
          <w:sz w:val="32"/>
        </w:rPr>
        <w:t>五是</w:t>
      </w:r>
      <w:r>
        <w:rPr>
          <w:rFonts w:ascii="仿宋_GB2312" w:eastAsia="仿宋_GB2312" w:hAnsi="仿宋_GB2312"/>
          <w:color w:val="auto"/>
          <w:sz w:val="32"/>
        </w:rPr>
        <w:t>坚守合规底线,筑牢稳健发展的安全屏障。始终把合规经营、风险防控摆在突出位置,牢固树立底线思维和风险意识,坚决守住不发生系统性金融风险的底线。完善合规风控体系,健全风险管理制度,加强对业务全流程的合规审查和风险监控,及时排查和处置各类风险隐患,做到防患于未然。加强员工合规教育和警示教育,培育合规文化,引导员工自觉遵守法律法规和规章制度,筑牢合规经营的思想防线。借鉴中国工商银行等单位的经验,建立学习教育负面清单,力戒形式主义,将合规风控要求融入日常工作的每一个环节,以合规稳健的发展成效体现正确政绩观。同时,加强廉洁自律建设,带头遵守廉洁自律各项规定,自觉接受组织和群众的监督,永葆共产党员的政治本色。</w:t>
      </w:r>
    </w:p>
    <w:p w14:paraId="4780CB30">
      <w:pPr>
        <w:spacing w:line="560" w:lineRule="exact"/>
        <w:ind w:firstLine="640"/>
        <w:jc w:val="both"/>
        <w:rPr>
          <w:color w:val="auto"/>
        </w:rPr>
      </w:pPr>
      <w:r>
        <w:rPr>
          <w:rFonts w:ascii="仿宋_GB2312" w:eastAsia="仿宋_GB2312" w:hAnsi="仿宋_GB2312"/>
          <w:b/>
          <w:color w:val="auto"/>
          <w:sz w:val="32"/>
        </w:rPr>
        <w:t>六是</w:t>
      </w:r>
      <w:r>
        <w:rPr>
          <w:rFonts w:ascii="仿宋_GB2312" w:eastAsia="仿宋_GB2312" w:hAnsi="仿宋_GB2312"/>
          <w:color w:val="auto"/>
          <w:sz w:val="32"/>
        </w:rPr>
        <w:t>注重统筹兼顾,推动各项工作协同发展。坚持系统观念,统筹推进党建工作与业务工作、短期目标与长远规划、经济效益与社会效益、发展与安全,实现各项工作协同推进、均衡发展。加强党建引领,把党建工作与业务工作同部署、同推进、同考核,充分发挥党组织的战斗堡垒作用和党员的先锋模范作用,以党建引领银行高质量发展。立足“十五五”开局,科学谋划银行长远发展规划,既要抓好当前业务攻坚,确保各项指标圆满完成,也要着眼长远,加强人才培养、产品创新、服务升级,夯实发展基础,实现银行可持续发展。坚持经济效益与社会效益相统一,在追求合理经营效益的同时,积极履行社会责任,参与公益事业,助力共同富裕,以全方位的发展成效践行正确政绩观。</w:t>
      </w:r>
    </w:p>
    <w:p w14:paraId="1B0B2B71">
      <w:pPr>
        <w:spacing w:line="560" w:lineRule="exact"/>
        <w:ind w:firstLine="640"/>
        <w:jc w:val="both"/>
        <w:rPr>
          <w:color w:val="auto"/>
        </w:rPr>
      </w:pPr>
      <w:r>
        <w:rPr>
          <w:rFonts w:ascii="仿宋_GB2312" w:eastAsia="仿宋_GB2312" w:hAnsi="仿宋_GB2312"/>
          <w:color w:val="auto"/>
          <w:sz w:val="32"/>
        </w:rPr>
        <w:t>各位领导、各位同事,树立和践行正确政绩观,是一项长期的政治任务,也是我们每一位银行领导干部的责任和使命。2026年,“十五五”规划开局起步,金融强国建设进入关键阶段,我们肩负着服务实体经济、防范金融风险、促进金融高质量发展的重大责任。我将以此次政绩观学习教育为契机,进一步校正政绩观、强化责任担当、锤炼过硬作风,始终坚守金融为民的初心使命,以实干创造实绩、以实绩诠释担当,带领分管部门和全体员工,真抓实干、久久为功,推动银行各项工作高质量发展,为服务国家战略、保障民生福祉、建设金融强国贡献自己的全部力量!</w:t>
      </w:r>
    </w:p>
    <w:p w14:paraId="6A71C9D8">
      <w:pPr>
        <w:spacing w:line="560" w:lineRule="exact"/>
        <w:ind w:firstLine="640"/>
        <w:jc w:val="both"/>
        <w:rPr>
          <w:rFonts w:ascii="仿宋_GB2312" w:eastAsia="仿宋_GB2312" w:hAnsi="仿宋_GB2312"/>
          <w:color w:val="auto"/>
          <w:sz w:val="32"/>
        </w:rPr>
      </w:pPr>
      <w:r>
        <w:rPr>
          <w:rFonts w:ascii="仿宋_GB2312" w:eastAsia="仿宋_GB2312" w:hAnsi="仿宋_GB2312"/>
          <w:color w:val="auto"/>
          <w:sz w:val="32"/>
        </w:rPr>
        <w:t>我的发言完毕,谢谢大家!</w:t>
      </w:r>
    </w:p>
    <w:bookmarkEnd w:id="0"/>
    <w:sectPr>
      <w:pgSz w:w="11906" w:h="16838"/>
      <w:pgMar w:top="2098" w:right="1474" w:bottom="1984" w:left="1587" w:header="850" w:footer="1587" w:gutter="0"/>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ocumentProtection w:formatting="1" w:enforcement="0"/>
  <w:defaultTabStop w:val="720"/>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1874F4"/>
    <w:rsid w:val="00145E6E"/>
    <w:rsid w:val="001874F4"/>
    <w:rsid w:val="0050791F"/>
    <w:rsid w:val="0051061F"/>
    <w:rsid w:val="0064210C"/>
    <w:rsid w:val="008F1CE1"/>
    <w:rsid w:val="07822C85"/>
    <w:rsid w:val="719C79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heme="minorEastAsia" w:cs="Times New Roman"/>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uiPriority="0" w:unhideWhenUsed="0" w:qFormat="1"/>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semiHidden="0" w:uiPriority="0" w:unhideWhenUsed="0" w:qFormat="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Calibri" w:hAnsi="Calibri" w:eastAsiaTheme="minorEastAsia" w:cs="Times New Roman"/>
      <w:sz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tabs>
        <w:tab w:val="center" w:pos="4153"/>
        <w:tab w:val="right" w:pos="8306"/>
      </w:tabs>
      <w:snapToGrid w:val="0"/>
      <w:jc w:val="center"/>
    </w:pPr>
    <w:rPr>
      <w:sz w:val="18"/>
      <w:szCs w:val="18"/>
    </w:rPr>
  </w:style>
  <w:style w:type="table" w:styleId="TableSimple1">
    <w:name w:val="Table Simple 1"/>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tblPr/>
      <w:tcPr>
        <w:tcBorders>
          <w:left w:val="single" w:sz="6" w:space="0" w:color="008000"/>
          <w:tl2br w:val="nil"/>
          <w:tr2bl w:val="nil"/>
        </w:tcBorders>
      </w:tcPr>
    </w:tblStylePr>
    <w:tblStylePr w:type="lastRow">
      <w:tblPr/>
      <w:tcPr>
        <w:tcBorders>
          <w:top w:val="single" w:sz="6" w:space="0" w:color="008000"/>
          <w:tl2br w:val="nil"/>
          <w:tr2bl w:val="nil"/>
        </w:tcBorders>
      </w:tcPr>
    </w:tblStylePr>
  </w:style>
  <w:style w:type="character" w:styleId="LineNumber">
    <w:name w:val="line number"/>
    <w:basedOn w:val="DefaultParagraphFont"/>
    <w:semiHidden/>
    <w:qFormat/>
  </w:style>
  <w:style w:type="character" w:styleId="Hyperlink">
    <w:name w:val="Hyperlink"/>
    <w:qFormat/>
    <w:rPr>
      <w:color w:val="0000FF"/>
      <w:u w:val="single"/>
    </w:r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3231169</TotalTime>
  <Pages>10</Pages>
  <Words>5401</Words>
  <Characters>5413</Characters>
  <Application>Microsoft Office Word</Application>
  <DocSecurity>0</DocSecurity>
  <Lines>109</Lines>
  <Paragraphs>28</Paragraphs>
  <ScaleCrop>false</ScaleCrop>
  <Manager>更多材料微信63662195</Manager>
  <Company>更多材料微信63662195</Company>
  <LinksUpToDate>false</LinksUpToDate>
  <CharactersWithSpaces>5413</CharactersWithSpaces>
  <SharedDoc>false</SharedDoc>
  <HyperlinkBase>公文思享文库：www.gwsxwk.com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更多材料微信63662195</dc:title>
  <dc:subject>更多材料微信63662195</dc:subject>
  <dc:creator>更多材料微信63662195</dc:creator>
  <cp:keywords>更多材料微信63662195</cp:keywords>
  <dc:description>更多材料微信63662195</dc:description>
  <cp:lastModifiedBy>更多材料微信63662195</cp:lastModifiedBy>
  <cp:revision>63662195</cp:revision>
  <dcterms:created xsi:type="dcterms:W3CDTF">2026-04-20T02:36:00Z</dcterms:created>
  <dcterms:modified xsi:type="dcterms:W3CDTF">2026-04-21T10:18:53Z</dcterms:modified>
  <cp:category>更多材料微信63662195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1B13A8C93B5A4AC8B09DEC961C24DB14_12</vt:lpwstr>
  </property>
  <property fmtid="{D5CDD505-2E9C-101B-9397-08002B2CF9AE}" pid="3" name="KSOProductBuildVer">
    <vt:lpwstr>2052-12.1.0.25865</vt:lpwstr>
  </property>
  <property fmtid="{D5CDD505-2E9C-101B-9397-08002B2CF9AE}" pid="4" name="KSOTemplateDocerSaveRecord">
    <vt:lpwstr>eyJoZGlkIjoiNzk4YzQzMTMxMTFjNjNiYTIwMjNlZTk4ZTdjMWQxNzUiLCJ1c2VySWQiOiIyMzEwMTYyMjgifQ==</vt:lpwstr>
  </property>
</Properties>
</file>