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9C8B6">
      <w:pPr>
        <w:widowControl w:val="0"/>
        <w:adjustRightInd w:val="0"/>
        <w:spacing w:beforeAutospacing="0" w:afterLines="100" w:afterAutospacing="0" w:line="64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公司</w:t>
      </w:r>
      <w:r>
        <w:rPr>
          <w:rFonts w:hint="eastAsia" w:ascii="Times New Roman" w:hAnsi="Times New Roman" w:eastAsia="方正小标宋简体" w:cs="方正小标宋简体"/>
          <w:b w:val="0"/>
          <w:sz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年上半年履行全面从严治党主体责任情况报告</w:t>
      </w:r>
    </w:p>
    <w:p w14:paraId="75382576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年上半年，公司党委深入学习贯彻党的二十大及二十届历次全会精神，牢牢把握新时代党的建设总要求和新时代党的组织路线，始终以习近平新时代中国特色社会主义思想为根本遵循，深刻领悟“两个确立”的决定性意义，自觉把“四个意识”“四个自信”“两个维护”融入企业治理、经营发展、队伍建设全过程。</w:t>
      </w:r>
    </w:p>
    <w:p w14:paraId="58BD719A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立足国企政治属性与经营属性双重定位，公司党委坚决扛牢管党治党主体责任，锚定强根铸魂、赋能提质、清风护航工作主线，始终保持严的基调、严的举措、严的氛围，持续压实层级责任、规范权力运行、净化政治生态、深化党建经营融合，以全面从严治党扎实成效防范经营风险、夯实治理根基、护航企业稳健发展。上半年，公司党建引领更加有力、责任体系更加严密、作风建设更加扎实、队伍状态更加昂扬，为企业应对复杂市场形势、推进提质增效、实现稳健运营筑牢坚实政治保障和纪律保障。现将上半年履职情况报告如下：</w:t>
      </w:r>
    </w:p>
    <w:p w14:paraId="0519A02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一、聚焦凝心铸魂，深耕思想建设，筑牢忠诚履职政治根基</w:t>
      </w:r>
    </w:p>
    <w:p w14:paraId="519E324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思想是行动的先导，政治是发展的根本。公司党委始终把党的政治建设摆在首位，坚持思想建党、理论强党同步推进，以常态化理论武装、规范化政治生活、常态化信念教育，持续夯实全员政治忠诚，确保企业发展始终沿着正确政治方向稳步前行。</w:t>
      </w:r>
    </w:p>
    <w:p w14:paraId="5814327D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（一）抓实理论武装，校准发展航向</w:t>
      </w:r>
    </w:p>
    <w:p w14:paraId="00B9AD0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坚持把理论学习作为提升政治能力、治理能力、履职能力的核心抓手，严格落实“第一议题”制度，紧跟中央最新部署要求，常态化开展党委理论学习中心组集中学习、专题研讨，系统学习习近平总书记关于国有企业改革发展、党的建设、风险防控、高质量发展的重要论述。</w:t>
      </w:r>
    </w:p>
    <w:p w14:paraId="69C7ABF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聚焦企业经营实际、行业发展规律、市场风险隐患开展靶向研学，引导党员干部主动校正发展理念，摒弃粗放扩张、重规模轻质量、重投入轻效益的惯性思维，牢固树立合规经营、稳健发展、提质增效的工作理念。上半年累计开展集中学习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次、专题研讨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场，覆盖党员干部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人次，切实推动党的创新理论入脑入心、落地生根，实现理论学习与企业发展同频共振。</w:t>
      </w:r>
    </w:p>
    <w:p w14:paraId="41A8B35D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（二）严肃政治生活，淬炼党性作风</w:t>
      </w:r>
    </w:p>
    <w:p w14:paraId="205F09F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严格对标新形势下党内政治生活若干准则，高标准、严要求落实党内组织生活各项制度，常态化规范“三会一课”、主题党日、民主评议党员等基础工作，严肃规范召开党内民主生活会、组织生活会。</w:t>
      </w:r>
    </w:p>
    <w:p w14:paraId="640786A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坚持刀刃向内、实事求是，充分运用批评和自我批评武器，敢于揭短亮丑、红脸出汗，深入查摆思想作风、履职担当、纪律规矩、工作落实等方面存在的短板不足，做到见人见事、对标整改、常态提升。通过规范化、常态化的党内政治生活淬炼，持续增强党内政治生活的政治性、时代性、原则性、战斗性，不断锤炼党员干部忠诚干净担当的政治品格。</w:t>
      </w:r>
    </w:p>
    <w:p w14:paraId="3B03951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（三）厚植信念教育，凝聚奋进动力</w:t>
      </w:r>
    </w:p>
    <w:p w14:paraId="4CE4893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紧扣年度主题教育部署要求，结合建党周年系列庆祝活动，常态化开展党性教育、红色研学、初心教育，丰富党员教育载体、拓宽思想培育渠道。通过组织参观红色教育基地、开展微党课竞赛、重温入党誓词、主题党日实践等多样化形式，推动理想信念教育常态化、具象化、实效化。</w:t>
      </w:r>
    </w:p>
    <w:p w14:paraId="2A801B1B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上半年累计开展红色教育研学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次、微党课评比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场、特色主题党日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余次，引导全体党员干部在沉浸式教育中感悟初心使命、强化责任担当、凝聚实干力量，持续激发全员干事创业、攻坚克难、争先创优的内生动力。</w:t>
      </w:r>
    </w:p>
    <w:p w14:paraId="4240295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二、聚焦扛责履职，健全闭环体系，织密全域从严治理链条</w:t>
      </w:r>
    </w:p>
    <w:p w14:paraId="03701852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公司党委始终坚守全面从严治党主体责任，坚持守土有责、守土尽责，持续细化责任清单、健全管控机制、强化统筹调度，推动管党治党责任由软任务转为硬约束，实现责任全覆盖、落实全闭环、监管无死角。</w:t>
      </w:r>
    </w:p>
    <w:p w14:paraId="456BD3C3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（一）清单定岗明责，压实层级链条</w:t>
      </w:r>
    </w:p>
    <w:p w14:paraId="16DC803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立足公司权属子公司业态布局、基层支部架构和岗位履职实际，年初系统修订完善年度全面从严治党主体责任清单，分层厘清党委集体领导责任、书记第一责任人责任、班子成员一岗双责、基层支部直接责任四类责任体系。</w:t>
      </w:r>
    </w:p>
    <w:p w14:paraId="4C80385C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结合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家子公司、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个基层党支部的经营特点和管理实际，细化梳理责任条目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项，逐条明确工作标准、落实载体、时间节点和考核依据，把宏观部署细化为具体任务，把原则要求转化为实操举措，有效破解责任边界模糊、工作落实虚化、压力层层递减等问题，构建权责清晰、层层衔接、全域覆盖的管党治党工作格局。</w:t>
      </w:r>
    </w:p>
    <w:p w14:paraId="29CDE188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（二）常态督查督责，抓实落地闭环</w:t>
      </w:r>
    </w:p>
    <w:p w14:paraId="4208C0DD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健全完善月度提示、季度督查、半年考评的常态化工作机制，依托党委例会、党建调度、专题研判，常态化分析全面从严治党落实质效、作风建设态势、廉洁风险动态。</w:t>
      </w:r>
    </w:p>
    <w:p w14:paraId="6A8BA60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严格落实基层党组织书记述职评议制度，上半年组织基层支部书记专项述职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场，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名支部负责人现场述职履职成效、查摆短板弱项、汇报下步举措，党委班子逐一点评、靶向纠偏、明确整改方向。坚持考评结果与支部评优、绩效评价、干部考核深度挂钩，以刚性考核倒逼责任落实，确保各项从严治党举措落地生根、见行见效。</w:t>
      </w:r>
    </w:p>
    <w:p w14:paraId="1646C34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（三）党建融入治理，深化双向赋能</w:t>
      </w:r>
    </w:p>
    <w:p w14:paraId="484A191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始终坚持党建工作与生产经营、项目建设、市场拓展、内控管理同谋划、同部署、同推进、同考核，严格落实党委前置研究讨论重大事项机制，把党的领导全面内嵌到企业治理各环节。</w:t>
      </w:r>
    </w:p>
    <w:p w14:paraId="1324865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在技改升级、项目落地、资源统筹、风险防控等重点工作中，充分发挥党组织把关定向、统筹协调、破难促干的核心作用。上半年公司落地技改项目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项、市场拓展新项目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个，全部通过党委前置研讨优化方案、完善风控举措，依托党建统筹协调破解落地难题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件，切实把管党治党成效转化为企业治理效能、经营质效、发展实效。</w:t>
      </w:r>
    </w:p>
    <w:p w14:paraId="2FADD64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三、聚焦对标检视，刀刃向内自查，清醒正视现存短板弱项</w:t>
      </w:r>
    </w:p>
    <w:p w14:paraId="7ECB2F6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在总结成效、肯定进步的同时，公司党委坚持问题导向、底线思维，对照新时代国企党建新标准、全面从严治党新要求、企业高质量发展新任务，清醒认识到当前工作仍存在短板弱项。</w:t>
      </w:r>
    </w:p>
    <w:p w14:paraId="22D4763D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一是理论学用转化仍有差距。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部分党员干部理论学习存在学用脱节现象，浅层学习多、深度思考少，结合企业改革发展、市场攻坚、风险防范的靶向研学不够，理论赋能实践、指导经营、破解难题的实效有待进一步提升。</w:t>
      </w:r>
    </w:p>
    <w:p w14:paraId="25B7886D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二是党建经营融合深度不足。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部分基层支部仍存在重业务、轻党建惯性思维，党建与生产经营、项目攻坚、队伍管理的融合载体不够丰富，以党建破难题、提质效、防风险的牵引作用发挥不充分。</w:t>
      </w:r>
    </w:p>
    <w:p w14:paraId="03E367DC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三是廉政风险防控精度不高。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重点岗位、关键环节常态化风险排查不够细致，部分制度执行存在温差落差，日常监督提醒、源头防范治理的精准度、常态化仍需持续加强。</w:t>
      </w:r>
    </w:p>
    <w:p w14:paraId="241B81E0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四是干部作风建设仍需夯实。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少数干部担当意识、攻坚意识不强，存在按部就班、被动落实的工作状态，创新突破、主动作为、实干攻坚的精气神有待进一步提振。</w:t>
      </w:r>
    </w:p>
    <w:p w14:paraId="1823992C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四、聚焦提质增效，靶向精准施策，纵深推进从严管党治党</w:t>
      </w:r>
    </w:p>
    <w:p w14:paraId="769F34DA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下半年，公司党委将持续保持严的主基调不动摇，坚持问题导向、目标导向、结果导向，补短板、强弱项、固底板、创亮点，持续推动全面从严治党走深走实、提质增效。</w:t>
      </w:r>
    </w:p>
    <w:p w14:paraId="49274B4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（一）持续深化理论武装，筑牢政治忠诚根基</w:t>
      </w:r>
    </w:p>
    <w:p w14:paraId="14ECC1C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持续抓实常态化理论学习、党性教育、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教育，优化学习载体、丰富学习形式、提升学习质效，推动理论学习从浅层认知向深度转化升级。持续强化政治淬炼，不断提升党员干部政治判断力、政治领悟力、政治执行力，始终确保企业发展政治方向不偏、发展立场不移。</w:t>
      </w:r>
    </w:p>
    <w:p w14:paraId="1483996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（二）持续压实责任链条，完善从严治理格局</w:t>
      </w:r>
    </w:p>
    <w:p w14:paraId="6954F4B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进一步细化层级责任体系，强化全过程督导、常态化调度、精准化考评，打通责任传导末梢，杜绝责任虚化、落实弱化。持续深化党建与经营深度融合，创新融合载体、做实融合举措，真正以高质量党建引领企业高质量治理、高效率运营、高品质发展。</w:t>
      </w:r>
    </w:p>
    <w:p w14:paraId="7F0EA2FA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（三）持续抓实风险防控，涵养清正廉洁生态</w:t>
      </w:r>
    </w:p>
    <w:p w14:paraId="336EFFD8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常态化开展纪律教育、警示教育、岗位廉政风险排查，健全重点领域、关键岗位风险防控机制，补齐制度短板、堵塞管理漏洞。持之以恒正风肃纪，从严纠治作风顽疾，坚持严管厚爱结合、激励约束并重，持续营造风清气正、实干担当、争先创优的良好企业生态。</w:t>
      </w:r>
    </w:p>
    <w:p w14:paraId="22E1CB5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（四）持续夯实基层基础，建强实干骨干队伍</w:t>
      </w:r>
    </w:p>
    <w:p w14:paraId="498C9C6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持续推进基层党支部标准化规范化提质升级，抓实党员教育管理、党务队伍培育、基层阵地建设，充分发挥基层党组织战斗堡垒作用和党员先锋模范作用。持续锤炼干部队伍实干作风，提振干事创业精气神，为企业稳健经营、提质增效、长远发展提供坚强组织保障。</w:t>
      </w:r>
    </w:p>
    <w:p w14:paraId="52550246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风清则气正，气正则业兴。下一步，公司党委将始终扛牢管党治党政治责任，持之以恒抓党建、久久为功严作风、靶向用力促发展，持续推动全面从严治党向基层延伸、向一线落地、向纵深推进，以高质量党建引领保障企业全年各项目标任务圆满完成，奋力推动公司高质量发展持续进位、稳步提质。</w:t>
      </w:r>
    </w:p>
    <w:p w14:paraId="4AA82111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bookmarkStart w:id="0" w:name="_GoBack"/>
      <w:bookmarkEnd w:id="0"/>
    </w:p>
    <w:sectPr>
      <w:headerReference r:id="rId3" w:type="first"/>
      <w:footerReference r:id="rId6" w:type="first"/>
      <w:footerReference r:id="rId4" w:type="default"/>
      <w:footerReference r:id="rId5" w:type="even"/>
      <w:pgSz w:w="11905" w:h="16840"/>
      <w:pgMar w:top="2098" w:right="1474" w:bottom="1984" w:left="1588" w:header="851" w:footer="1418" w:gutter="0"/>
      <w:cols w:space="72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1BD097-587A-4390-9B0B-43EE055251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380B8F12-38A5-42AF-829B-A93A05449F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C3DBEBB-3444-4B2C-B35D-7FB4A32C669E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92402138-F395-46E1-B184-35C98FD62D4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A755C">
    <w:pPr>
      <w:pStyle w:val="2"/>
      <w:spacing w:line="240" w:lineRule="auto"/>
      <w:ind w:left="0" w:leftChars="0" w:right="210" w:rightChars="100" w:firstLine="0" w:firstLineChars="0"/>
      <w:jc w:val="right"/>
      <w:rPr>
        <w:rFonts w:hint="eastAsia" w:ascii="宋体" w:hAnsi="宋体" w:eastAsia="宋体" w:cs="宋体"/>
        <w:b w:val="0"/>
        <w:sz w:val="28"/>
        <w:lang w:eastAsia="zh-CN"/>
      </w:rPr>
    </w:pPr>
    <w:r>
      <w:rPr>
        <w:rFonts w:hint="eastAsia" w:ascii="宋体" w:hAnsi="宋体" w:eastAsia="宋体" w:cs="宋体"/>
        <w:b w:val="0"/>
        <w:sz w:val="28"/>
        <w:lang w:eastAsia="zh-CN"/>
      </w:rPr>
      <w:t xml:space="preserve">— 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begin"/>
    </w:r>
    <w:r>
      <w:rPr>
        <w:rFonts w:hint="eastAsia" w:ascii="宋体" w:hAnsi="宋体" w:eastAsia="宋体" w:cs="宋体"/>
        <w:b w:val="0"/>
        <w:sz w:val="28"/>
        <w:lang w:eastAsia="zh-CN"/>
      </w:rPr>
      <w:instrText xml:space="preserve"> PAGE  </w:instrTex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separate"/>
    </w:r>
    <w:r>
      <w:rPr>
        <w:rFonts w:hint="eastAsia" w:ascii="宋体" w:hAnsi="宋体" w:eastAsia="宋体" w:cs="宋体"/>
        <w:b w:val="0"/>
        <w:sz w:val="28"/>
        <w:lang w:eastAsia="zh-CN"/>
      </w:rPr>
      <w:t>1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end"/>
    </w:r>
    <w:r>
      <w:rPr>
        <w:rFonts w:hint="eastAsia" w:ascii="宋体" w:hAnsi="宋体" w:eastAsia="宋体" w:cs="宋体"/>
        <w:b w:val="0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4D012">
    <w:pPr>
      <w:pStyle w:val="2"/>
      <w:spacing w:line="240" w:lineRule="auto"/>
      <w:ind w:left="210" w:leftChars="100" w:right="0" w:rightChars="0" w:firstLine="0" w:firstLineChars="0"/>
      <w:jc w:val="left"/>
      <w:rPr>
        <w:rFonts w:hint="eastAsia" w:ascii="宋体" w:hAnsi="宋体" w:eastAsia="宋体" w:cs="宋体"/>
        <w:b w:val="0"/>
        <w:sz w:val="28"/>
        <w:lang w:eastAsia="zh-CN"/>
      </w:rPr>
    </w:pPr>
    <w:r>
      <w:rPr>
        <w:rFonts w:hint="eastAsia" w:ascii="宋体" w:hAnsi="宋体" w:eastAsia="宋体" w:cs="宋体"/>
        <w:b w:val="0"/>
        <w:sz w:val="28"/>
        <w:lang w:eastAsia="zh-CN"/>
      </w:rPr>
      <w:t xml:space="preserve">— 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begin"/>
    </w:r>
    <w:r>
      <w:rPr>
        <w:rFonts w:hint="eastAsia" w:ascii="宋体" w:hAnsi="宋体" w:eastAsia="宋体" w:cs="宋体"/>
        <w:b w:val="0"/>
        <w:sz w:val="28"/>
        <w:lang w:eastAsia="zh-CN"/>
      </w:rPr>
      <w:instrText xml:space="preserve"> PAGE  </w:instrTex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separate"/>
    </w:r>
    <w:r>
      <w:rPr>
        <w:rFonts w:hint="eastAsia" w:ascii="宋体" w:hAnsi="宋体" w:eastAsia="宋体" w:cs="宋体"/>
        <w:b w:val="0"/>
        <w:sz w:val="28"/>
        <w:lang w:eastAsia="zh-CN"/>
      </w:rPr>
      <w:t>2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end"/>
    </w:r>
    <w:r>
      <w:rPr>
        <w:rFonts w:hint="eastAsia" w:ascii="宋体" w:hAnsi="宋体" w:eastAsia="宋体" w:cs="宋体"/>
        <w:b w:val="0"/>
        <w:sz w:val="28"/>
        <w:lang w:eastAsia="zh-CN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E44D1">
    <w:pPr>
      <w:pStyle w:val="2"/>
      <w:spacing w:line="240" w:lineRule="auto"/>
      <w:ind w:left="0" w:leftChars="0" w:right="0" w:rightChars="0" w:firstLine="0" w:firstLineChars="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7A9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evenAndOddHeaders w:val="1"/>
  <w:compat>
    <w:useFELayout/>
    <w:splitPgBreakAndParaMark/>
    <w:compatSetting w:name="compatibilityMode" w:uri="http://schemas.microsoft.com/office/word" w:val="12"/>
  </w:compat>
  <w:rsids>
    <w:rsidRoot w:val="00000000"/>
    <w:rsid w:val="07124B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3406</Words>
  <Characters>3430</Characters>
  <TotalTime>0</TotalTime>
  <ScaleCrop>false</ScaleCrop>
  <LinksUpToDate>false</LinksUpToDate>
  <CharactersWithSpaces>3467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2026-07-21T08:03:00Z</dcterms:created>
  <dc:creator>Apache POI</dc:creator>
  <cp:lastModifiedBy>WPS_1730943292</cp:lastModifiedBy>
  <dcterms:modified xsi:type="dcterms:W3CDTF">2026-07-21T08:37:50Z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{"Label":"1","ContentProducer":"001191110102MACQD9K64010000","ProduceID":"7664888946720476395","ReservedCode1":"","ContentPropagator":"","PropagateID":"","ReservedCode2":""}</vt:lpwstr>
  </property>
  <property fmtid="{D5CDD505-2E9C-101B-9397-08002B2CF9AE}" pid="3" name="KSOTemplateDocerSaveRecord">
    <vt:lpwstr>eyJoZGlkIjoiODUyMDA1MTgwYTNiYWVjZWU3Zjc1N2U3YjMwNGE0YmEiLCJ1c2VySWQiOiIxNjUzNTE5MTU3In0=</vt:lpwstr>
  </property>
  <property fmtid="{D5CDD505-2E9C-101B-9397-08002B2CF9AE}" pid="4" name="KSOProductBuildVer">
    <vt:lpwstr>2052-12.1.0.26895</vt:lpwstr>
  </property>
  <property fmtid="{D5CDD505-2E9C-101B-9397-08002B2CF9AE}" pid="5" name="ICV">
    <vt:lpwstr>3ACDF6CC4D9C42C5917AE3292DBCEDD2_12</vt:lpwstr>
  </property>
</Properties>
</file>